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C81D" w14:textId="26749035" w:rsidR="005E4F5A" w:rsidRPr="007C72AD" w:rsidRDefault="00A93262" w:rsidP="00A93262">
      <w:pPr>
        <w:shd w:val="clear" w:color="auto" w:fill="FFFFFF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918BE">
        <w:rPr>
          <w:rFonts w:ascii="Times New Roman" w:eastAsia="標楷體" w:hAnsi="Times New Roman" w:cs="Times New Roman" w:hint="eastAsia"/>
          <w:b/>
          <w:sz w:val="36"/>
          <w:szCs w:val="36"/>
        </w:rPr>
        <w:t>國立成功大學智慧半導體及永續製造學院</w:t>
      </w:r>
      <w:r w:rsidRPr="007C72A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晶片設計學位學程</w:t>
      </w:r>
    </w:p>
    <w:p w14:paraId="27888DE5" w14:textId="13CAB086" w:rsidR="00A93262" w:rsidRPr="00F918BE" w:rsidRDefault="00A93262" w:rsidP="00A93262">
      <w:pPr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918B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博士學位候選人資格考核實施要點</w:t>
      </w:r>
    </w:p>
    <w:p w14:paraId="3CB84BFB" w14:textId="0D50A632" w:rsidR="00A93262" w:rsidRPr="008166E9" w:rsidRDefault="00A93262" w:rsidP="00A93262">
      <w:pPr>
        <w:shd w:val="clear" w:color="auto" w:fill="FFFFFF"/>
        <w:spacing w:line="384" w:lineRule="atLeas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166E9"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  <w:t>111</w:t>
      </w:r>
      <w:r w:rsidRPr="008166E9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shd w:val="clear" w:color="auto" w:fill="FFFFFF"/>
        </w:rPr>
        <w:t>年</w:t>
      </w:r>
      <w:r w:rsidRPr="008166E9"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  <w:t>07</w:t>
      </w:r>
      <w:r w:rsidRPr="008166E9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shd w:val="clear" w:color="auto" w:fill="FFFFFF"/>
        </w:rPr>
        <w:t>月</w:t>
      </w:r>
      <w:r w:rsidRPr="008166E9"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  <w:t>11</w:t>
      </w:r>
      <w:r w:rsidRPr="008166E9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shd w:val="clear" w:color="auto" w:fill="FFFFFF"/>
        </w:rPr>
        <w:t>日</w:t>
      </w:r>
      <w:r w:rsidR="00074F13" w:rsidRPr="008166E9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shd w:val="clear" w:color="auto" w:fill="FFFFFF"/>
        </w:rPr>
        <w:t>晶片設計</w:t>
      </w:r>
      <w:r w:rsidRPr="008166E9"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  <w:t>學程會議通過</w:t>
      </w:r>
    </w:p>
    <w:p w14:paraId="0547A218" w14:textId="0124ED9C" w:rsidR="00A93262" w:rsidRDefault="00A93262" w:rsidP="00A93262">
      <w:pPr>
        <w:spacing w:line="0" w:lineRule="atLeast"/>
        <w:ind w:rightChars="-10" w:right="-24"/>
        <w:jc w:val="right"/>
        <w:rPr>
          <w:rFonts w:ascii="Times New Roman" w:eastAsia="標楷體" w:hAnsi="Times New Roman"/>
          <w:sz w:val="20"/>
          <w:szCs w:val="20"/>
        </w:rPr>
      </w:pPr>
      <w:r w:rsidRPr="000E3165">
        <w:rPr>
          <w:rFonts w:ascii="Times New Roman" w:eastAsia="標楷體" w:hAnsi="Times New Roman"/>
          <w:sz w:val="20"/>
          <w:szCs w:val="20"/>
        </w:rPr>
        <w:t>111</w:t>
      </w:r>
      <w:r w:rsidRPr="000E3165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0E3165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12</w:t>
      </w:r>
      <w:r w:rsidRPr="000E3165">
        <w:rPr>
          <w:rFonts w:ascii="Times New Roman" w:eastAsia="標楷體" w:hAnsi="Times New Roman"/>
          <w:sz w:val="20"/>
          <w:szCs w:val="20"/>
        </w:rPr>
        <w:t>日</w:t>
      </w:r>
      <w:r w:rsidRPr="000E3165">
        <w:rPr>
          <w:rFonts w:ascii="Times New Roman" w:eastAsia="標楷體" w:hAnsi="Times New Roman"/>
          <w:sz w:val="20"/>
          <w:szCs w:val="20"/>
        </w:rPr>
        <w:t>111</w:t>
      </w:r>
      <w:r w:rsidRPr="000E3165">
        <w:rPr>
          <w:rFonts w:ascii="Times New Roman" w:eastAsia="標楷體" w:hAnsi="Times New Roman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 w:rsidRPr="000E3165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E316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E3165">
        <w:rPr>
          <w:rFonts w:ascii="Times New Roman" w:eastAsia="標楷體" w:hAnsi="Times New Roman"/>
          <w:sz w:val="20"/>
          <w:szCs w:val="20"/>
        </w:rPr>
        <w:t>會議通過</w:t>
      </w:r>
    </w:p>
    <w:p w14:paraId="18844792" w14:textId="0DD02054" w:rsidR="008166E9" w:rsidRDefault="008166E9" w:rsidP="00A93262">
      <w:pPr>
        <w:spacing w:line="0" w:lineRule="atLeast"/>
        <w:ind w:rightChars="-10" w:right="-24"/>
        <w:jc w:val="right"/>
        <w:rPr>
          <w:rFonts w:ascii="Times New Roman" w:eastAsia="標楷體" w:hAnsi="Times New Roman"/>
          <w:sz w:val="20"/>
          <w:szCs w:val="20"/>
        </w:rPr>
      </w:pPr>
      <w:r w:rsidRPr="008166E9">
        <w:rPr>
          <w:rFonts w:ascii="Times New Roman" w:eastAsia="標楷體" w:hAnsi="Times New Roman" w:hint="eastAsia"/>
          <w:sz w:val="20"/>
          <w:szCs w:val="20"/>
        </w:rPr>
        <w:t>111</w:t>
      </w:r>
      <w:r w:rsidRPr="008166E9">
        <w:rPr>
          <w:rFonts w:ascii="Times New Roman" w:eastAsia="標楷體" w:hAnsi="Times New Roman" w:hint="eastAsia"/>
          <w:sz w:val="20"/>
          <w:szCs w:val="20"/>
        </w:rPr>
        <w:t>年</w:t>
      </w:r>
      <w:r w:rsidRPr="008166E9">
        <w:rPr>
          <w:rFonts w:ascii="Times New Roman" w:eastAsia="標楷體" w:hAnsi="Times New Roman" w:hint="eastAsia"/>
          <w:sz w:val="20"/>
          <w:szCs w:val="20"/>
        </w:rPr>
        <w:t>10</w:t>
      </w:r>
      <w:r w:rsidRPr="008166E9">
        <w:rPr>
          <w:rFonts w:ascii="Times New Roman" w:eastAsia="標楷體" w:hAnsi="Times New Roman" w:hint="eastAsia"/>
          <w:sz w:val="20"/>
          <w:szCs w:val="20"/>
        </w:rPr>
        <w:t>月</w:t>
      </w:r>
      <w:r w:rsidRPr="008166E9">
        <w:rPr>
          <w:rFonts w:ascii="Times New Roman" w:eastAsia="標楷體" w:hAnsi="Times New Roman" w:hint="eastAsia"/>
          <w:sz w:val="20"/>
          <w:szCs w:val="20"/>
        </w:rPr>
        <w:t>11</w:t>
      </w:r>
      <w:r w:rsidRPr="008166E9">
        <w:rPr>
          <w:rFonts w:ascii="Times New Roman" w:eastAsia="標楷體" w:hAnsi="Times New Roman" w:hint="eastAsia"/>
          <w:sz w:val="20"/>
          <w:szCs w:val="20"/>
        </w:rPr>
        <w:t>日</w:t>
      </w:r>
      <w:proofErr w:type="gramStart"/>
      <w:r w:rsidRPr="008166E9">
        <w:rPr>
          <w:rFonts w:ascii="Times New Roman" w:eastAsia="標楷體" w:hAnsi="Times New Roman" w:hint="eastAsia"/>
          <w:sz w:val="20"/>
          <w:szCs w:val="20"/>
        </w:rPr>
        <w:t>111</w:t>
      </w:r>
      <w:proofErr w:type="gramEnd"/>
      <w:r w:rsidRPr="008166E9">
        <w:rPr>
          <w:rFonts w:ascii="Times New Roman" w:eastAsia="標楷體" w:hAnsi="Times New Roman" w:hint="eastAsia"/>
          <w:sz w:val="20"/>
          <w:szCs w:val="20"/>
        </w:rPr>
        <w:t>年度第</w:t>
      </w:r>
      <w:r w:rsidRPr="008166E9">
        <w:rPr>
          <w:rFonts w:ascii="Times New Roman" w:eastAsia="標楷體" w:hAnsi="Times New Roman" w:hint="eastAsia"/>
          <w:sz w:val="20"/>
          <w:szCs w:val="20"/>
        </w:rPr>
        <w:t>6</w:t>
      </w:r>
      <w:r w:rsidRPr="008166E9">
        <w:rPr>
          <w:rFonts w:ascii="Times New Roman" w:eastAsia="標楷體" w:hAnsi="Times New Roman" w:hint="eastAsia"/>
          <w:sz w:val="20"/>
          <w:szCs w:val="20"/>
        </w:rPr>
        <w:t>次管理委員會通過</w:t>
      </w:r>
    </w:p>
    <w:p w14:paraId="138199EF" w14:textId="5130EEBA" w:rsidR="006D13B1" w:rsidRDefault="006D13B1" w:rsidP="00A93262">
      <w:pPr>
        <w:spacing w:line="0" w:lineRule="atLeast"/>
        <w:ind w:rightChars="-10" w:right="-24"/>
        <w:jc w:val="right"/>
        <w:rPr>
          <w:rFonts w:ascii="Times New Roman" w:eastAsia="標楷體" w:hAnsi="Times New Roman"/>
          <w:sz w:val="20"/>
          <w:szCs w:val="20"/>
        </w:rPr>
      </w:pPr>
      <w:r w:rsidRPr="006D13B1">
        <w:rPr>
          <w:rFonts w:ascii="Times New Roman" w:eastAsia="標楷體" w:hAnsi="Times New Roman"/>
          <w:sz w:val="20"/>
          <w:szCs w:val="20"/>
        </w:rPr>
        <w:t>112</w:t>
      </w:r>
      <w:r w:rsidRPr="006D13B1">
        <w:rPr>
          <w:rFonts w:ascii="Times New Roman" w:eastAsia="標楷體" w:hAnsi="Times New Roman"/>
          <w:sz w:val="20"/>
          <w:szCs w:val="20"/>
        </w:rPr>
        <w:t>年</w:t>
      </w:r>
      <w:r w:rsidRPr="006D13B1">
        <w:rPr>
          <w:rFonts w:ascii="Times New Roman" w:eastAsia="標楷體" w:hAnsi="Times New Roman"/>
          <w:sz w:val="20"/>
          <w:szCs w:val="20"/>
        </w:rPr>
        <w:t>10</w:t>
      </w:r>
      <w:r w:rsidRPr="006D13B1">
        <w:rPr>
          <w:rFonts w:ascii="Times New Roman" w:eastAsia="標楷體" w:hAnsi="Times New Roman"/>
          <w:sz w:val="20"/>
          <w:szCs w:val="20"/>
        </w:rPr>
        <w:t>月</w:t>
      </w:r>
      <w:r w:rsidRPr="006D13B1">
        <w:rPr>
          <w:rFonts w:ascii="Times New Roman" w:eastAsia="標楷體" w:hAnsi="Times New Roman"/>
          <w:sz w:val="20"/>
          <w:szCs w:val="20"/>
        </w:rPr>
        <w:t>2</w:t>
      </w:r>
      <w:r w:rsidRPr="006D13B1">
        <w:rPr>
          <w:rFonts w:ascii="Times New Roman" w:eastAsia="標楷體" w:hAnsi="Times New Roman"/>
          <w:sz w:val="20"/>
          <w:szCs w:val="20"/>
        </w:rPr>
        <w:t>日</w:t>
      </w:r>
      <w:r w:rsidRPr="006D13B1">
        <w:rPr>
          <w:rFonts w:ascii="Times New Roman" w:eastAsia="標楷體" w:hAnsi="Times New Roman"/>
          <w:sz w:val="20"/>
          <w:szCs w:val="20"/>
        </w:rPr>
        <w:t>112</w:t>
      </w:r>
      <w:r w:rsidRPr="006D13B1">
        <w:rPr>
          <w:rFonts w:ascii="Times New Roman" w:eastAsia="標楷體" w:hAnsi="Times New Roman"/>
          <w:sz w:val="20"/>
          <w:szCs w:val="20"/>
        </w:rPr>
        <w:t>年第</w:t>
      </w:r>
      <w:r w:rsidRPr="006D13B1">
        <w:rPr>
          <w:rFonts w:ascii="Times New Roman" w:eastAsia="標楷體" w:hAnsi="Times New Roman"/>
          <w:sz w:val="20"/>
          <w:szCs w:val="20"/>
        </w:rPr>
        <w:t>3</w:t>
      </w:r>
      <w:r w:rsidRPr="006D13B1">
        <w:rPr>
          <w:rFonts w:ascii="Times New Roman" w:eastAsia="標楷體" w:hAnsi="Times New Roman"/>
          <w:sz w:val="20"/>
          <w:szCs w:val="20"/>
        </w:rPr>
        <w:t>次管理委員會修正通過</w:t>
      </w:r>
    </w:p>
    <w:p w14:paraId="33CAE824" w14:textId="5A936D10" w:rsidR="00872633" w:rsidRDefault="00872633" w:rsidP="00A93262">
      <w:pPr>
        <w:spacing w:line="0" w:lineRule="atLeast"/>
        <w:ind w:rightChars="-10" w:right="-24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112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20</w:t>
      </w:r>
      <w:r>
        <w:rPr>
          <w:rFonts w:ascii="Times New Roman" w:eastAsia="標楷體" w:hAnsi="Times New Roman" w:hint="eastAsia"/>
          <w:sz w:val="20"/>
          <w:szCs w:val="20"/>
        </w:rPr>
        <w:t>日</w:t>
      </w:r>
      <w:proofErr w:type="gramStart"/>
      <w:r w:rsidRPr="00872633">
        <w:rPr>
          <w:rFonts w:ascii="Times New Roman" w:eastAsia="標楷體" w:hAnsi="Times New Roman"/>
          <w:sz w:val="20"/>
          <w:szCs w:val="20"/>
        </w:rPr>
        <w:t>112</w:t>
      </w:r>
      <w:proofErr w:type="gramEnd"/>
      <w:r w:rsidRPr="00872633">
        <w:rPr>
          <w:rFonts w:ascii="Times New Roman" w:eastAsia="標楷體" w:hAnsi="Times New Roman" w:hint="eastAsia"/>
          <w:sz w:val="20"/>
          <w:szCs w:val="20"/>
        </w:rPr>
        <w:t>年度第</w:t>
      </w:r>
      <w:r w:rsidRPr="00872633">
        <w:rPr>
          <w:rFonts w:ascii="Times New Roman" w:eastAsia="標楷體" w:hAnsi="Times New Roman"/>
          <w:sz w:val="20"/>
          <w:szCs w:val="20"/>
        </w:rPr>
        <w:t>2</w:t>
      </w:r>
      <w:r w:rsidRPr="00872633">
        <w:rPr>
          <w:rFonts w:ascii="Times New Roman" w:eastAsia="標楷體" w:hAnsi="Times New Roman" w:hint="eastAsia"/>
          <w:sz w:val="20"/>
          <w:szCs w:val="20"/>
        </w:rPr>
        <w:t>次監督委員會</w:t>
      </w:r>
      <w:r w:rsidR="00A8151D">
        <w:rPr>
          <w:rFonts w:ascii="Times New Roman" w:eastAsia="標楷體" w:hAnsi="Times New Roman" w:hint="eastAsia"/>
          <w:sz w:val="20"/>
          <w:szCs w:val="20"/>
        </w:rPr>
        <w:t>備查</w:t>
      </w:r>
    </w:p>
    <w:p w14:paraId="3AA5DA1B" w14:textId="52C50908" w:rsidR="00AA7569" w:rsidRDefault="00AA7569" w:rsidP="00A93262">
      <w:pPr>
        <w:spacing w:line="0" w:lineRule="atLeast"/>
        <w:ind w:rightChars="-10" w:right="-24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EA26D9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11</w:t>
      </w:r>
      <w:r w:rsidR="00EA26D9"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3</w:t>
      </w:r>
      <w:r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年</w:t>
      </w:r>
      <w:r w:rsidR="00EA26D9"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6</w:t>
      </w:r>
      <w:r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月</w:t>
      </w:r>
      <w:r w:rsidR="00EA26D9"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6</w:t>
      </w:r>
      <w:r w:rsidRPr="00EA26D9">
        <w:rPr>
          <w:rFonts w:ascii="Times New Roman" w:eastAsia="標楷體" w:hAnsi="Times New Roman" w:cs="Times New Roman" w:hint="eastAsia"/>
          <w:sz w:val="20"/>
          <w:szCs w:val="20"/>
          <w:shd w:val="clear" w:color="auto" w:fill="FFFFFF"/>
        </w:rPr>
        <w:t>日晶片設計</w:t>
      </w:r>
      <w:r w:rsidRPr="008166E9">
        <w:rPr>
          <w:rFonts w:ascii="Times New Roman" w:eastAsia="標楷體" w:hAnsi="Times New Roman" w:cs="Times New Roman"/>
          <w:color w:val="000000" w:themeColor="text1"/>
          <w:sz w:val="20"/>
          <w:szCs w:val="20"/>
          <w:shd w:val="clear" w:color="auto" w:fill="FFFFFF"/>
        </w:rPr>
        <w:t>學程會議通過</w:t>
      </w:r>
    </w:p>
    <w:p w14:paraId="6A403D47" w14:textId="4F1DE4E3" w:rsidR="00AA7569" w:rsidRDefault="00AA7569" w:rsidP="00AA7569">
      <w:pPr>
        <w:spacing w:line="0" w:lineRule="atLeast"/>
        <w:ind w:rightChars="-10" w:right="-24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0E3165"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0E3165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0E3165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26</w:t>
      </w:r>
      <w:r w:rsidRPr="000E3165">
        <w:rPr>
          <w:rFonts w:ascii="Times New Roman" w:eastAsia="標楷體" w:hAnsi="Times New Roman"/>
          <w:sz w:val="20"/>
          <w:szCs w:val="20"/>
        </w:rPr>
        <w:t>日</w:t>
      </w:r>
      <w:r w:rsidRPr="000E3165">
        <w:rPr>
          <w:rFonts w:ascii="Times New Roman" w:eastAsia="標楷體" w:hAnsi="Times New Roman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0E3165">
        <w:rPr>
          <w:rFonts w:ascii="Times New Roman" w:eastAsia="標楷體" w:hAnsi="Times New Roman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Pr="000E3165">
        <w:rPr>
          <w:rFonts w:ascii="Times New Roman" w:eastAsia="標楷體" w:hAnsi="Times New Roman"/>
          <w:sz w:val="20"/>
          <w:szCs w:val="20"/>
        </w:rPr>
        <w:t>次院</w:t>
      </w:r>
      <w:proofErr w:type="gramStart"/>
      <w:r w:rsidRPr="000E316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0E3165">
        <w:rPr>
          <w:rFonts w:ascii="Times New Roman" w:eastAsia="標楷體" w:hAnsi="Times New Roman"/>
          <w:sz w:val="20"/>
          <w:szCs w:val="20"/>
        </w:rPr>
        <w:t>會議</w:t>
      </w:r>
      <w:r>
        <w:rPr>
          <w:rFonts w:ascii="Times New Roman" w:eastAsia="標楷體" w:hAnsi="Times New Roman" w:hint="eastAsia"/>
          <w:sz w:val="20"/>
          <w:szCs w:val="20"/>
        </w:rPr>
        <w:t>備查</w:t>
      </w:r>
    </w:p>
    <w:p w14:paraId="35942EBD" w14:textId="77777777" w:rsidR="006D13B1" w:rsidRPr="006D13B1" w:rsidRDefault="006D13B1" w:rsidP="006D13B1">
      <w:pPr>
        <w:pStyle w:val="a3"/>
        <w:numPr>
          <w:ilvl w:val="0"/>
          <w:numId w:val="1"/>
        </w:numPr>
        <w:spacing w:beforeLines="100" w:before="240" w:line="400" w:lineRule="exact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151AD5">
        <w:rPr>
          <w:rFonts w:ascii="Times New Roman" w:eastAsia="標楷體" w:hAnsi="Times New Roman" w:cs="Times New Roman" w:hint="eastAsia"/>
        </w:rPr>
        <w:t>國立成功大學智慧半導體及永續製造學院晶片設計</w:t>
      </w:r>
      <w:r w:rsidRPr="006D13B1">
        <w:rPr>
          <w:rFonts w:ascii="Times New Roman" w:eastAsia="標楷體" w:hAnsi="Times New Roman" w:cs="Times New Roman" w:hint="eastAsia"/>
        </w:rPr>
        <w:t>博士</w:t>
      </w:r>
      <w:r w:rsidRPr="00151AD5">
        <w:rPr>
          <w:rFonts w:ascii="Times New Roman" w:eastAsia="標楷體" w:hAnsi="Times New Roman" w:cs="Times New Roman" w:hint="eastAsia"/>
        </w:rPr>
        <w:t>學位學程</w:t>
      </w:r>
      <w:r w:rsidRPr="00151AD5">
        <w:rPr>
          <w:rFonts w:ascii="Times New Roman" w:eastAsia="標楷體" w:hAnsi="Times New Roman" w:cs="Times New Roman"/>
        </w:rPr>
        <w:t>(</w:t>
      </w:r>
      <w:r w:rsidRPr="00151AD5">
        <w:rPr>
          <w:rFonts w:ascii="Times New Roman" w:eastAsia="標楷體" w:hAnsi="Times New Roman" w:cs="Times New Roman" w:hint="eastAsia"/>
        </w:rPr>
        <w:t>以下簡稱本學程</w:t>
      </w:r>
      <w:r w:rsidRPr="00151AD5">
        <w:rPr>
          <w:rFonts w:ascii="Times New Roman" w:eastAsia="標楷體" w:hAnsi="Times New Roman" w:cs="Times New Roman"/>
        </w:rPr>
        <w:t>)</w:t>
      </w:r>
      <w:r w:rsidRPr="00151AD5">
        <w:rPr>
          <w:rFonts w:ascii="Times New Roman" w:eastAsia="標楷體" w:hAnsi="Times New Roman" w:cs="Times New Roman" w:hint="eastAsia"/>
        </w:rPr>
        <w:t>，為辦理博士學位候選人資格考核，依據國家重點領域產學合作及人才培育創新條例第</w:t>
      </w:r>
      <w:r w:rsidRPr="00151AD5">
        <w:rPr>
          <w:rFonts w:ascii="Times New Roman" w:eastAsia="標楷體" w:hAnsi="Times New Roman" w:cs="Times New Roman"/>
        </w:rPr>
        <w:t>23</w:t>
      </w:r>
      <w:r w:rsidRPr="00151AD5">
        <w:rPr>
          <w:rFonts w:ascii="Times New Roman" w:eastAsia="標楷體" w:hAnsi="Times New Roman" w:cs="Times New Roman" w:hint="eastAsia"/>
        </w:rPr>
        <w:t>條及</w:t>
      </w:r>
      <w:r w:rsidRPr="006D13B1">
        <w:rPr>
          <w:rFonts w:ascii="Times New Roman" w:eastAsia="標楷體" w:hAnsi="Times New Roman" w:cs="Times New Roman" w:hint="eastAsia"/>
        </w:rPr>
        <w:t>本學程</w:t>
      </w:r>
      <w:r w:rsidRPr="00151AD5">
        <w:rPr>
          <w:rFonts w:ascii="Times New Roman" w:eastAsia="標楷體" w:hAnsi="Times New Roman" w:cs="Times New Roman" w:hint="eastAsia"/>
        </w:rPr>
        <w:t>修業辦法第</w:t>
      </w:r>
      <w:r w:rsidRPr="00151AD5">
        <w:rPr>
          <w:rFonts w:ascii="Times New Roman" w:eastAsia="標楷體" w:hAnsi="Times New Roman" w:cs="Times New Roman"/>
        </w:rPr>
        <w:t>5</w:t>
      </w:r>
      <w:r w:rsidRPr="00151AD5">
        <w:rPr>
          <w:rFonts w:ascii="Times New Roman" w:eastAsia="標楷體" w:hAnsi="Times New Roman" w:cs="Times New Roman" w:hint="eastAsia"/>
        </w:rPr>
        <w:t>條</w:t>
      </w:r>
      <w:r w:rsidRPr="006D13B1">
        <w:rPr>
          <w:rFonts w:ascii="Times New Roman" w:eastAsia="標楷體" w:hAnsi="Times New Roman" w:cs="Times New Roman" w:hint="eastAsia"/>
        </w:rPr>
        <w:t>第</w:t>
      </w:r>
      <w:r w:rsidRPr="006D13B1">
        <w:rPr>
          <w:rFonts w:ascii="Times New Roman" w:eastAsia="標楷體" w:hAnsi="Times New Roman" w:cs="Times New Roman"/>
        </w:rPr>
        <w:t>2</w:t>
      </w:r>
      <w:r w:rsidRPr="006D13B1">
        <w:rPr>
          <w:rFonts w:ascii="Times New Roman" w:eastAsia="標楷體" w:hAnsi="Times New Roman" w:cs="Times New Roman" w:hint="eastAsia"/>
        </w:rPr>
        <w:t>項規定</w:t>
      </w:r>
      <w:r w:rsidRPr="00151AD5">
        <w:rPr>
          <w:rFonts w:ascii="Times New Roman" w:eastAsia="標楷體" w:hAnsi="Times New Roman" w:cs="Times New Roman" w:hint="eastAsia"/>
        </w:rPr>
        <w:t>，訂定本要點。</w:t>
      </w:r>
    </w:p>
    <w:p w14:paraId="43D4DEAB" w14:textId="78C7CFA4" w:rsidR="00A93262" w:rsidRPr="00172872" w:rsidRDefault="00A93262" w:rsidP="006D13B1">
      <w:pPr>
        <w:pStyle w:val="a3"/>
        <w:numPr>
          <w:ilvl w:val="0"/>
          <w:numId w:val="1"/>
        </w:numPr>
        <w:spacing w:beforeLines="100" w:before="240" w:line="400" w:lineRule="exact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172872">
        <w:rPr>
          <w:rFonts w:ascii="Times New Roman" w:eastAsia="標楷體" w:hAnsi="Times New Roman" w:cs="Times New Roman" w:hint="eastAsia"/>
          <w:shd w:val="clear" w:color="auto" w:fill="FFFFFF"/>
        </w:rPr>
        <w:t>本</w:t>
      </w:r>
      <w:r w:rsidRPr="00172872">
        <w:rPr>
          <w:rFonts w:ascii="Times New Roman" w:eastAsia="標楷體" w:hAnsi="Times New Roman" w:cs="Times New Roman" w:hint="eastAsia"/>
        </w:rPr>
        <w:t>學程</w:t>
      </w:r>
      <w:r w:rsidRPr="00172872">
        <w:rPr>
          <w:rFonts w:ascii="Times New Roman" w:eastAsia="標楷體" w:hAnsi="Times New Roman" w:cs="Times New Roman" w:hint="eastAsia"/>
          <w:shd w:val="clear" w:color="auto" w:fill="FFFFFF"/>
        </w:rPr>
        <w:t>博士候選人資格考試</w:t>
      </w:r>
      <w:r w:rsidRPr="00172872">
        <w:rPr>
          <w:rFonts w:ascii="Times New Roman" w:eastAsia="標楷體" w:hAnsi="Times New Roman" w:cs="Times New Roman"/>
        </w:rPr>
        <w:t>分為基礎科目及核心科目</w:t>
      </w:r>
      <w:r w:rsidRPr="00172872">
        <w:rPr>
          <w:rFonts w:ascii="Times New Roman" w:eastAsia="標楷體" w:hAnsi="Times New Roman" w:cs="Times New Roman" w:hint="eastAsia"/>
        </w:rPr>
        <w:t>；</w:t>
      </w:r>
      <w:r w:rsidRPr="00172872">
        <w:rPr>
          <w:rFonts w:ascii="Times New Roman" w:eastAsia="標楷體" w:hAnsi="Times New Roman" w:cs="Times New Roman"/>
        </w:rPr>
        <w:t>基礎科目</w:t>
      </w:r>
      <w:r w:rsidRPr="00172872">
        <w:rPr>
          <w:rFonts w:ascii="Times New Roman" w:eastAsia="標楷體" w:hAnsi="Times New Roman" w:cs="Times New Roman" w:hint="eastAsia"/>
        </w:rPr>
        <w:t>須</w:t>
      </w:r>
      <w:r w:rsidRPr="00172872">
        <w:rPr>
          <w:rFonts w:ascii="Times New Roman" w:eastAsia="標楷體" w:hAnsi="Times New Roman" w:cs="Times New Roman"/>
        </w:rPr>
        <w:t>三選二</w:t>
      </w:r>
      <w:r w:rsidRPr="00172872">
        <w:rPr>
          <w:rFonts w:ascii="Times New Roman" w:eastAsia="標楷體" w:hAnsi="Times New Roman" w:cs="Times New Roman" w:hint="eastAsia"/>
        </w:rPr>
        <w:t>，</w:t>
      </w:r>
      <w:r w:rsidRPr="00172872">
        <w:rPr>
          <w:rFonts w:ascii="Times New Roman" w:eastAsia="標楷體" w:hAnsi="Times New Roman" w:cs="Times New Roman"/>
        </w:rPr>
        <w:t>核心科目</w:t>
      </w:r>
      <w:r w:rsidRPr="00172872">
        <w:rPr>
          <w:rFonts w:ascii="Times New Roman" w:eastAsia="標楷體" w:hAnsi="Times New Roman" w:cs="Times New Roman" w:hint="eastAsia"/>
        </w:rPr>
        <w:t>須</w:t>
      </w:r>
      <w:r w:rsidR="00AA7569">
        <w:rPr>
          <w:rFonts w:ascii="Times New Roman" w:eastAsia="標楷體" w:hAnsi="Times New Roman" w:cs="Times New Roman" w:hint="eastAsia"/>
        </w:rPr>
        <w:t>三</w:t>
      </w:r>
      <w:r w:rsidRPr="00172872">
        <w:rPr>
          <w:rFonts w:ascii="Times New Roman" w:eastAsia="標楷體" w:hAnsi="Times New Roman" w:cs="Times New Roman"/>
        </w:rPr>
        <w:t>選</w:t>
      </w:r>
      <w:proofErr w:type="gramStart"/>
      <w:r w:rsidRPr="00172872">
        <w:rPr>
          <w:rFonts w:ascii="Times New Roman" w:eastAsia="標楷體" w:hAnsi="Times New Roman" w:cs="Times New Roman"/>
        </w:rPr>
        <w:t>一</w:t>
      </w:r>
      <w:proofErr w:type="gramEnd"/>
      <w:r w:rsidRPr="00172872">
        <w:rPr>
          <w:rFonts w:ascii="Times New Roman" w:eastAsia="標楷體" w:hAnsi="Times New Roman" w:cs="Times New Roman" w:hint="eastAsia"/>
        </w:rPr>
        <w:t>應</w:t>
      </w:r>
      <w:r w:rsidRPr="00172872">
        <w:rPr>
          <w:rFonts w:ascii="Times New Roman" w:eastAsia="標楷體" w:hAnsi="Times New Roman" w:cs="Times New Roman"/>
        </w:rPr>
        <w:t>試</w:t>
      </w:r>
      <w:r w:rsidRPr="00172872">
        <w:rPr>
          <w:rFonts w:ascii="Times New Roman" w:eastAsia="標楷體" w:hAnsi="Times New Roman" w:cs="Times New Roman" w:hint="eastAsia"/>
        </w:rPr>
        <w:t>，各</w:t>
      </w:r>
      <w:r w:rsidRPr="00172872">
        <w:rPr>
          <w:rFonts w:ascii="Times New Roman" w:eastAsia="標楷體" w:hAnsi="Times New Roman" w:cs="Times New Roman"/>
        </w:rPr>
        <w:t>資格考</w:t>
      </w:r>
      <w:r w:rsidRPr="00172872">
        <w:rPr>
          <w:rFonts w:ascii="Times New Roman" w:eastAsia="標楷體" w:hAnsi="Times New Roman" w:cs="Times New Roman" w:hint="eastAsia"/>
        </w:rPr>
        <w:t>試</w:t>
      </w:r>
      <w:r w:rsidRPr="00172872">
        <w:rPr>
          <w:rFonts w:ascii="Times New Roman" w:eastAsia="標楷體" w:hAnsi="Times New Roman" w:cs="Times New Roman"/>
        </w:rPr>
        <w:t>科目如下：</w:t>
      </w:r>
    </w:p>
    <w:p w14:paraId="586F23C8" w14:textId="77777777" w:rsidR="00A93262" w:rsidRPr="00F918BE" w:rsidRDefault="00A93262" w:rsidP="006D13B1">
      <w:pPr>
        <w:pStyle w:val="a3"/>
        <w:widowControl w:val="0"/>
        <w:numPr>
          <w:ilvl w:val="0"/>
          <w:numId w:val="4"/>
        </w:numPr>
        <w:ind w:left="993" w:hanging="481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/>
        </w:rPr>
        <w:t>基礎科目</w:t>
      </w:r>
      <w:r w:rsidRPr="00F918BE">
        <w:rPr>
          <w:rFonts w:ascii="Times New Roman" w:eastAsia="標楷體" w:hAnsi="Times New Roman" w:cs="Times New Roman" w:hint="eastAsia"/>
        </w:rPr>
        <w:t>：</w:t>
      </w:r>
    </w:p>
    <w:p w14:paraId="3ABC8B72" w14:textId="77777777" w:rsidR="00A93262" w:rsidRPr="00F918BE" w:rsidRDefault="00A93262" w:rsidP="006D13B1">
      <w:pPr>
        <w:pStyle w:val="a3"/>
        <w:widowControl w:val="0"/>
        <w:numPr>
          <w:ilvl w:val="1"/>
          <w:numId w:val="3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/>
        </w:rPr>
        <w:t>計算</w:t>
      </w:r>
      <w:r w:rsidRPr="00F918BE">
        <w:rPr>
          <w:rFonts w:ascii="Times New Roman" w:eastAsia="標楷體" w:hAnsi="Times New Roman" w:cs="Times New Roman" w:hint="eastAsia"/>
        </w:rPr>
        <w:t>機結構</w:t>
      </w:r>
      <w:r w:rsidRPr="00F918BE">
        <w:rPr>
          <w:rFonts w:ascii="Times New Roman" w:eastAsia="標楷體" w:hAnsi="Times New Roman" w:cs="Times New Roman"/>
        </w:rPr>
        <w:t>(</w:t>
      </w:r>
      <w:r w:rsidRPr="00F918BE">
        <w:rPr>
          <w:rFonts w:ascii="Times New Roman" w:eastAsia="標楷體" w:hAnsi="Times New Roman" w:cs="Times New Roman" w:hint="eastAsia"/>
        </w:rPr>
        <w:t>架構</w:t>
      </w:r>
      <w:r w:rsidRPr="00F918BE">
        <w:rPr>
          <w:rFonts w:ascii="Times New Roman" w:eastAsia="標楷體" w:hAnsi="Times New Roman" w:cs="Times New Roman"/>
        </w:rPr>
        <w:t>)</w:t>
      </w:r>
      <w:r w:rsidRPr="00F918BE">
        <w:rPr>
          <w:rFonts w:ascii="Times New Roman" w:eastAsia="標楷體" w:hAnsi="Times New Roman" w:cs="Times New Roman" w:hint="eastAsia"/>
        </w:rPr>
        <w:t>組織。</w:t>
      </w:r>
    </w:p>
    <w:p w14:paraId="6E3E5B72" w14:textId="77777777" w:rsidR="00A93262" w:rsidRPr="00F918BE" w:rsidRDefault="00A93262" w:rsidP="006D13B1">
      <w:pPr>
        <w:pStyle w:val="a3"/>
        <w:widowControl w:val="0"/>
        <w:numPr>
          <w:ilvl w:val="1"/>
          <w:numId w:val="3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 w:hint="eastAsia"/>
        </w:rPr>
        <w:t>電子電路設計。</w:t>
      </w:r>
    </w:p>
    <w:p w14:paraId="694705BE" w14:textId="77777777" w:rsidR="00A93262" w:rsidRPr="00F918BE" w:rsidRDefault="00A93262" w:rsidP="006D13B1">
      <w:pPr>
        <w:pStyle w:val="a3"/>
        <w:widowControl w:val="0"/>
        <w:numPr>
          <w:ilvl w:val="1"/>
          <w:numId w:val="3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 w:hint="eastAsia"/>
        </w:rPr>
        <w:t>數位訊號處理。</w:t>
      </w:r>
    </w:p>
    <w:p w14:paraId="64B4486D" w14:textId="77777777" w:rsidR="00A93262" w:rsidRPr="00F918BE" w:rsidRDefault="00A93262" w:rsidP="006D13B1">
      <w:pPr>
        <w:pStyle w:val="a3"/>
        <w:widowControl w:val="0"/>
        <w:numPr>
          <w:ilvl w:val="0"/>
          <w:numId w:val="4"/>
        </w:numPr>
        <w:ind w:left="993" w:hanging="481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 w:hint="eastAsia"/>
        </w:rPr>
        <w:t>核心科目：</w:t>
      </w:r>
    </w:p>
    <w:p w14:paraId="734B67D8" w14:textId="77777777" w:rsidR="00A93262" w:rsidRPr="00F918BE" w:rsidRDefault="00A93262" w:rsidP="006D13B1">
      <w:pPr>
        <w:pStyle w:val="a3"/>
        <w:widowControl w:val="0"/>
        <w:numPr>
          <w:ilvl w:val="1"/>
          <w:numId w:val="2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 w:hint="eastAsia"/>
        </w:rPr>
        <w:t>數位</w:t>
      </w:r>
      <w:r w:rsidRPr="00F918BE">
        <w:rPr>
          <w:rFonts w:ascii="Times New Roman" w:eastAsia="標楷體" w:hAnsi="Times New Roman" w:cs="Times New Roman"/>
        </w:rPr>
        <w:t>IC</w:t>
      </w:r>
      <w:r w:rsidRPr="00F918BE">
        <w:rPr>
          <w:rFonts w:ascii="Times New Roman" w:eastAsia="標楷體" w:hAnsi="Times New Roman" w:cs="Times New Roman" w:hint="eastAsia"/>
        </w:rPr>
        <w:t>設計。</w:t>
      </w:r>
    </w:p>
    <w:p w14:paraId="69D78741" w14:textId="77777777" w:rsidR="00172872" w:rsidRDefault="00A93262" w:rsidP="006D13B1">
      <w:pPr>
        <w:pStyle w:val="a3"/>
        <w:widowControl w:val="0"/>
        <w:numPr>
          <w:ilvl w:val="1"/>
          <w:numId w:val="2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 w:rsidRPr="00F918BE">
        <w:rPr>
          <w:rFonts w:ascii="Times New Roman" w:eastAsia="標楷體" w:hAnsi="Times New Roman" w:cs="Times New Roman" w:hint="eastAsia"/>
        </w:rPr>
        <w:t>類比</w:t>
      </w:r>
      <w:r w:rsidRPr="00F918BE">
        <w:rPr>
          <w:rFonts w:ascii="Times New Roman" w:eastAsia="標楷體" w:hAnsi="Times New Roman" w:cs="Times New Roman"/>
        </w:rPr>
        <w:t>IC</w:t>
      </w:r>
      <w:r w:rsidRPr="00F918BE">
        <w:rPr>
          <w:rFonts w:ascii="Times New Roman" w:eastAsia="標楷體" w:hAnsi="Times New Roman" w:cs="Times New Roman" w:hint="eastAsia"/>
        </w:rPr>
        <w:t>設計。</w:t>
      </w:r>
    </w:p>
    <w:p w14:paraId="565D4CB5" w14:textId="7CEA4E01" w:rsidR="00AA7569" w:rsidRDefault="00AA7569" w:rsidP="006D13B1">
      <w:pPr>
        <w:pStyle w:val="a3"/>
        <w:widowControl w:val="0"/>
        <w:numPr>
          <w:ilvl w:val="1"/>
          <w:numId w:val="2"/>
        </w:numPr>
        <w:ind w:left="1276" w:hanging="283"/>
        <w:contextualSpacing w:val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電力電子能量轉換</w:t>
      </w:r>
    </w:p>
    <w:p w14:paraId="2201F413" w14:textId="77777777" w:rsidR="006D13B1" w:rsidRPr="00151AD5" w:rsidRDefault="00A93262" w:rsidP="008623E4">
      <w:pPr>
        <w:pStyle w:val="a3"/>
        <w:widowControl w:val="0"/>
        <w:numPr>
          <w:ilvl w:val="0"/>
          <w:numId w:val="11"/>
        </w:numPr>
        <w:spacing w:beforeLines="100" w:before="240"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bookmarkStart w:id="0" w:name="_Hlk110503609"/>
      <w:r w:rsidRPr="00125D1E">
        <w:rPr>
          <w:rFonts w:ascii="Times New Roman" w:eastAsia="標楷體" w:hAnsi="Times New Roman" w:cs="Times New Roman" w:hint="eastAsia"/>
          <w:shd w:val="clear" w:color="auto" w:fill="FFFFFF" w:themeFill="background1"/>
        </w:rPr>
        <w:t>本學</w:t>
      </w:r>
      <w:bookmarkEnd w:id="0"/>
      <w:r w:rsidR="006D13B1"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程博士候選人資格考試通過方式及通過期限：</w:t>
      </w:r>
    </w:p>
    <w:p w14:paraId="3FFD3DDE" w14:textId="77777777" w:rsidR="006D13B1" w:rsidRPr="00151AD5" w:rsidRDefault="006D13B1" w:rsidP="008623E4">
      <w:pPr>
        <w:pStyle w:val="a3"/>
        <w:numPr>
          <w:ilvl w:val="0"/>
          <w:numId w:val="10"/>
        </w:numPr>
        <w:spacing w:beforeLines="100" w:before="240" w:line="400" w:lineRule="exact"/>
        <w:ind w:leftChars="235" w:left="1132" w:hanging="568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資格考試每學期以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舉辦</w:t>
      </w:r>
      <w:proofErr w:type="gramStart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ㄧ</w:t>
      </w:r>
      <w:proofErr w:type="gramEnd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次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為原則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(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時間與方式另行公告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)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，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博士生應於入學後不含休學之八學期內通過；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資格考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試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分數達七十分以上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者，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通過該科考試。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每門科目經選考後，得更換為其他科目，但被更換的科目不得再選考。考試次數以四次為限，含被更換科目及抵免論文；抵免論文未通過審查者，仍累計考試次數。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未依規定年限完成者，由本學程通知註冊組勒令退學。資格考試及格後，始得申請論文初審與博士論文口試。</w:t>
      </w:r>
    </w:p>
    <w:p w14:paraId="713B33A1" w14:textId="77777777" w:rsidR="006D13B1" w:rsidRPr="006D13B1" w:rsidRDefault="006D13B1" w:rsidP="008623E4">
      <w:pPr>
        <w:pStyle w:val="a3"/>
        <w:numPr>
          <w:ilvl w:val="0"/>
          <w:numId w:val="10"/>
        </w:numPr>
        <w:spacing w:beforeLines="100" w:before="240" w:line="400" w:lineRule="exact"/>
        <w:ind w:leftChars="235" w:left="1132" w:hanging="568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資格考試應依前點規定辦理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。但於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前款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規定期限內，經本學程開會同意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後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，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博士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生得以本學程研究相關之國際學術論文且為第一作者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(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指導教授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除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外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)</w:t>
      </w: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之論文</w:t>
      </w:r>
      <w:proofErr w:type="gramStart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乙篇抵</w:t>
      </w:r>
      <w:proofErr w:type="gramEnd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免</w:t>
      </w:r>
      <w:proofErr w:type="gramStart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一</w:t>
      </w:r>
      <w:proofErr w:type="gramEnd"/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科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，抵免條件如下：</w:t>
      </w:r>
    </w:p>
    <w:p w14:paraId="07389A5B" w14:textId="5838D7B8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hint="eastAsia"/>
          <w:shd w:val="clear" w:color="auto" w:fill="FFFFFF" w:themeFill="background1"/>
        </w:rPr>
        <w:t>應為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發表於下列國際期刊或國際頂尖會議之論文：</w:t>
      </w:r>
      <w:r w:rsidRPr="006D13B1">
        <w:rPr>
          <w:rFonts w:ascii="Times New Roman" w:eastAsia="標楷體" w:hAnsi="Times New Roman" w:cs="Times New Roman" w:hint="eastAsia"/>
        </w:rPr>
        <w:t xml:space="preserve"> </w:t>
      </w:r>
    </w:p>
    <w:p w14:paraId="21865A12" w14:textId="70970AE7" w:rsidR="006D13B1" w:rsidRPr="006D13B1" w:rsidRDefault="006D13B1" w:rsidP="008623E4">
      <w:pPr>
        <w:pStyle w:val="a3"/>
        <w:widowControl w:val="0"/>
        <w:numPr>
          <w:ilvl w:val="0"/>
          <w:numId w:val="12"/>
        </w:numPr>
        <w:spacing w:beforeLines="100" w:before="240" w:line="400" w:lineRule="exact"/>
        <w:ind w:leftChars="564" w:left="1700" w:hangingChars="144" w:hanging="34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國際期刊：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IEEE Proc., Journal, Trans., Letters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中與論文有直接關連者，或與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IEEE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相當或更高水準之其他期刊。</w:t>
      </w:r>
    </w:p>
    <w:p w14:paraId="3A3A232E" w14:textId="77777777" w:rsidR="006D13B1" w:rsidRPr="006D13B1" w:rsidRDefault="006D13B1" w:rsidP="008623E4">
      <w:pPr>
        <w:pStyle w:val="a3"/>
        <w:widowControl w:val="0"/>
        <w:numPr>
          <w:ilvl w:val="0"/>
          <w:numId w:val="12"/>
        </w:numPr>
        <w:spacing w:beforeLines="100" w:before="240" w:line="400" w:lineRule="exact"/>
        <w:ind w:leftChars="564" w:left="1700" w:hangingChars="144" w:hanging="34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國際頂尖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會議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論文：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具有完整審查制度之國際一流學術會議。</w:t>
      </w:r>
    </w:p>
    <w:p w14:paraId="63646FDB" w14:textId="77777777" w:rsidR="006D13B1" w:rsidRPr="008623E4" w:rsidRDefault="006D13B1" w:rsidP="008623E4">
      <w:pPr>
        <w:pStyle w:val="a3"/>
        <w:widowControl w:val="0"/>
        <w:numPr>
          <w:ilvl w:val="0"/>
          <w:numId w:val="12"/>
        </w:numPr>
        <w:spacing w:beforeLines="100" w:before="240" w:line="400" w:lineRule="exact"/>
        <w:ind w:leftChars="564" w:left="1700" w:hangingChars="144" w:hanging="34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本學程國際學術論文發表認列名單，經本學程會議通過後，公告於本學程網頁。</w:t>
      </w:r>
    </w:p>
    <w:p w14:paraId="1F23FDBA" w14:textId="595FB238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除指導教授外，博士生應為論文第一作者，且指導教授應為本學程聘任之教師。</w:t>
      </w:r>
    </w:p>
    <w:p w14:paraId="42C981E4" w14:textId="14A82FA3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shd w:val="clear" w:color="auto" w:fill="FFFFFF" w:themeFill="background1"/>
        </w:rPr>
      </w:pPr>
      <w:proofErr w:type="gramStart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論文須已刊登</w:t>
      </w:r>
      <w:proofErr w:type="gramEnd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或已接受刊登。</w:t>
      </w:r>
    </w:p>
    <w:p w14:paraId="4788DFF2" w14:textId="060CB7E0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除碩士學位學程</w:t>
      </w:r>
      <w:proofErr w:type="gramStart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逕</w:t>
      </w:r>
      <w:proofErr w:type="gramEnd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讀本</w:t>
      </w:r>
      <w:proofErr w:type="gramStart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學程外</w:t>
      </w:r>
      <w:proofErr w:type="gramEnd"/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，論文應為博士生入學後發表。</w:t>
      </w:r>
    </w:p>
    <w:p w14:paraId="690411C4" w14:textId="7ED1EAD7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第一作者所屬機構應為本學程。</w:t>
      </w:r>
    </w:p>
    <w:p w14:paraId="5C2A77A6" w14:textId="72C29793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該抵免論文不計入畢業所需之論文發表。</w:t>
      </w:r>
    </w:p>
    <w:p w14:paraId="643D0746" w14:textId="645DD107" w:rsidR="006D13B1" w:rsidRPr="006D13B1" w:rsidRDefault="006D13B1" w:rsidP="008623E4">
      <w:pPr>
        <w:pStyle w:val="a3"/>
        <w:numPr>
          <w:ilvl w:val="0"/>
          <w:numId w:val="15"/>
        </w:numPr>
        <w:spacing w:beforeLines="100" w:before="240" w:line="400" w:lineRule="exact"/>
        <w:ind w:leftChars="85" w:left="204" w:firstLineChars="387" w:firstLine="929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lastRenderedPageBreak/>
        <w:t>抵免申請應由指導教授簽名同意，一旦提出申請後，不得更改。</w:t>
      </w:r>
    </w:p>
    <w:p w14:paraId="59738909" w14:textId="77777777" w:rsidR="006D13B1" w:rsidRDefault="006D13B1" w:rsidP="006D13B1">
      <w:pPr>
        <w:pStyle w:val="a3"/>
        <w:widowControl w:val="0"/>
        <w:numPr>
          <w:ilvl w:val="0"/>
          <w:numId w:val="10"/>
        </w:numPr>
        <w:ind w:left="1026" w:hanging="567"/>
        <w:contextualSpacing w:val="0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151AD5">
        <w:rPr>
          <w:rFonts w:ascii="Times New Roman" w:eastAsia="標楷體" w:hAnsi="Times New Roman" w:cs="Times New Roman"/>
          <w:shd w:val="clear" w:color="auto" w:fill="FFFFFF" w:themeFill="background1"/>
        </w:rPr>
        <w:t>博士</w:t>
      </w:r>
      <w:r w:rsidRPr="00151AD5">
        <w:rPr>
          <w:rFonts w:ascii="Times New Roman" w:eastAsia="標楷體" w:hAnsi="Times New Roman" w:cs="Times New Roman" w:hint="eastAsia"/>
          <w:shd w:val="clear" w:color="auto" w:fill="FFFFFF" w:themeFill="background1"/>
        </w:rPr>
        <w:t>生休學期間不得參加該學期資格考試；完成資格考試後，該學期辦理休學者，其考試成績不列入計算。</w:t>
      </w:r>
    </w:p>
    <w:p w14:paraId="6A7474A5" w14:textId="2385A765" w:rsidR="006D13B1" w:rsidRPr="006D13B1" w:rsidRDefault="006D13B1" w:rsidP="006D13B1">
      <w:pPr>
        <w:pStyle w:val="a3"/>
        <w:widowControl w:val="0"/>
        <w:numPr>
          <w:ilvl w:val="0"/>
          <w:numId w:val="10"/>
        </w:numPr>
        <w:ind w:left="1026" w:hanging="567"/>
        <w:contextualSpacing w:val="0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博士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生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退學後重新入學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者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，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如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曾通過資格考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試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且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考試科目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於入學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當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年度仍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為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表列於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第二點之考試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科目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，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得於入學當學期申請抵免，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但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曾以論文抵免之科目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，須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經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本學程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會</w:t>
      </w:r>
      <w:r w:rsidRPr="006D13B1">
        <w:rPr>
          <w:rFonts w:ascii="Times New Roman" w:eastAsia="標楷體" w:hAnsi="Times New Roman" w:cs="Times New Roman" w:hint="eastAsia"/>
          <w:shd w:val="clear" w:color="auto" w:fill="FFFFFF" w:themeFill="background1"/>
        </w:rPr>
        <w:t>議</w:t>
      </w:r>
      <w:r w:rsidRPr="006D13B1">
        <w:rPr>
          <w:rFonts w:ascii="Times New Roman" w:eastAsia="標楷體" w:hAnsi="Times New Roman" w:cs="Times New Roman"/>
          <w:shd w:val="clear" w:color="auto" w:fill="FFFFFF" w:themeFill="background1"/>
        </w:rPr>
        <w:t>同意。</w:t>
      </w:r>
    </w:p>
    <w:p w14:paraId="1529DACC" w14:textId="13761C62" w:rsidR="008623E4" w:rsidRDefault="00A93262" w:rsidP="008623E4">
      <w:pPr>
        <w:pStyle w:val="a3"/>
        <w:widowControl w:val="0"/>
        <w:numPr>
          <w:ilvl w:val="0"/>
          <w:numId w:val="11"/>
        </w:numPr>
        <w:spacing w:beforeLines="100" w:before="240"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經本校核准至境外大學修讀博士雙聯學位之</w:t>
      </w:r>
      <w:r w:rsidRPr="008623E4">
        <w:rPr>
          <w:rFonts w:ascii="Times New Roman" w:eastAsia="標楷體" w:hAnsi="Times New Roman" w:cs="Times New Roman"/>
          <w:shd w:val="clear" w:color="auto" w:fill="FFFFFF" w:themeFill="background1"/>
        </w:rPr>
        <w:t>博士</w:t>
      </w:r>
      <w:r w:rsidR="00625296">
        <w:rPr>
          <w:rFonts w:ascii="Times New Roman" w:eastAsia="標楷體" w:hAnsi="Times New Roman" w:cs="Times New Roman" w:hint="eastAsia"/>
          <w:shd w:val="clear" w:color="auto" w:fill="FFFFFF" w:themeFill="background1"/>
        </w:rPr>
        <w:t>生</w:t>
      </w:r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，於該境外大學通過之博士資格考試得以全數抵免本學程之資格考試。</w:t>
      </w:r>
    </w:p>
    <w:p w14:paraId="4AB097BE" w14:textId="6DBD6072" w:rsidR="00A93262" w:rsidRPr="008623E4" w:rsidRDefault="006D13B1" w:rsidP="008623E4">
      <w:pPr>
        <w:pStyle w:val="a3"/>
        <w:widowControl w:val="0"/>
        <w:numPr>
          <w:ilvl w:val="0"/>
          <w:numId w:val="11"/>
        </w:numPr>
        <w:spacing w:beforeLines="100" w:before="240"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本要點經本學程課程委員會通過後實施，送院</w:t>
      </w:r>
      <w:proofErr w:type="gramStart"/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務</w:t>
      </w:r>
      <w:proofErr w:type="gramEnd"/>
      <w:r w:rsidRPr="008623E4">
        <w:rPr>
          <w:rFonts w:ascii="Times New Roman" w:eastAsia="標楷體" w:hAnsi="Times New Roman" w:cs="Times New Roman" w:hint="eastAsia"/>
          <w:shd w:val="clear" w:color="auto" w:fill="FFFFFF" w:themeFill="background1"/>
        </w:rPr>
        <w:t>會議備查，修正時亦同。</w:t>
      </w:r>
    </w:p>
    <w:sectPr w:rsidR="00A93262" w:rsidRPr="008623E4"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C0B4" w14:textId="77777777" w:rsidR="006A1651" w:rsidRDefault="006A1651" w:rsidP="00D04DF9">
      <w:r>
        <w:separator/>
      </w:r>
    </w:p>
  </w:endnote>
  <w:endnote w:type="continuationSeparator" w:id="0">
    <w:p w14:paraId="332CF40F" w14:textId="77777777" w:rsidR="006A1651" w:rsidRDefault="006A1651" w:rsidP="00D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08F1" w14:textId="77777777" w:rsidR="006A1651" w:rsidRDefault="006A1651" w:rsidP="00D04DF9">
      <w:r>
        <w:separator/>
      </w:r>
    </w:p>
  </w:footnote>
  <w:footnote w:type="continuationSeparator" w:id="0">
    <w:p w14:paraId="2694F765" w14:textId="77777777" w:rsidR="006A1651" w:rsidRDefault="006A1651" w:rsidP="00D0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2FA"/>
    <w:multiLevelType w:val="hybridMultilevel"/>
    <w:tmpl w:val="19A8B11C"/>
    <w:lvl w:ilvl="0" w:tplc="9B360E40">
      <w:start w:val="1"/>
      <w:numFmt w:val="decimal"/>
      <w:lvlText w:val="%1."/>
      <w:lvlJc w:val="left"/>
      <w:pPr>
        <w:ind w:left="1505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1" w15:restartNumberingAfterBreak="0">
    <w:nsid w:val="0AB20595"/>
    <w:multiLevelType w:val="hybridMultilevel"/>
    <w:tmpl w:val="8DE4CE4E"/>
    <w:lvl w:ilvl="0" w:tplc="D026D1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F130E"/>
    <w:multiLevelType w:val="hybridMultilevel"/>
    <w:tmpl w:val="0B74D308"/>
    <w:lvl w:ilvl="0" w:tplc="162CDD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67710"/>
    <w:multiLevelType w:val="hybridMultilevel"/>
    <w:tmpl w:val="56D80CE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17391B83"/>
    <w:multiLevelType w:val="hybridMultilevel"/>
    <w:tmpl w:val="1EB2E95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0F">
      <w:start w:val="1"/>
      <w:numFmt w:val="decimal"/>
      <w:lvlText w:val="%2.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A032551"/>
    <w:multiLevelType w:val="hybridMultilevel"/>
    <w:tmpl w:val="8EC81A42"/>
    <w:lvl w:ilvl="0" w:tplc="9B360E40">
      <w:start w:val="1"/>
      <w:numFmt w:val="decimal"/>
      <w:lvlText w:val="%1."/>
      <w:lvlJc w:val="left"/>
      <w:pPr>
        <w:ind w:left="1505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6" w15:restartNumberingAfterBreak="0">
    <w:nsid w:val="1DD41734"/>
    <w:multiLevelType w:val="hybridMultilevel"/>
    <w:tmpl w:val="9D681810"/>
    <w:lvl w:ilvl="0" w:tplc="72B4D012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hint="default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>
      <w:start w:val="5"/>
      <w:numFmt w:val="decimal"/>
      <w:lvlText w:val="%3."/>
      <w:lvlJc w:val="left"/>
      <w:pPr>
        <w:ind w:left="2596" w:hanging="360"/>
      </w:pPr>
      <w:rPr>
        <w:rFonts w:ascii="Times New Roman" w:eastAsia="標楷體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2EB06349"/>
    <w:multiLevelType w:val="hybridMultilevel"/>
    <w:tmpl w:val="61D470A8"/>
    <w:lvl w:ilvl="0" w:tplc="39329522">
      <w:start w:val="3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F1DCD"/>
    <w:multiLevelType w:val="hybridMultilevel"/>
    <w:tmpl w:val="B270E150"/>
    <w:lvl w:ilvl="0" w:tplc="31D637BE">
      <w:start w:val="1"/>
      <w:numFmt w:val="taiwaneseCountingThousand"/>
      <w:lvlText w:val="第%1條 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37" w:hanging="480"/>
      </w:pPr>
    </w:lvl>
    <w:lvl w:ilvl="2" w:tplc="160E9C8E">
      <w:start w:val="1"/>
      <w:numFmt w:val="decimal"/>
      <w:lvlText w:val="%3."/>
      <w:lvlJc w:val="left"/>
      <w:pPr>
        <w:ind w:left="1797" w:hanging="360"/>
      </w:pPr>
      <w:rPr>
        <w:rFonts w:ascii="Times New Roman" w:hAnsi="Times New Roman" w:cs="Times New Roman" w:hint="default"/>
        <w:strike w:val="0"/>
      </w:rPr>
    </w:lvl>
    <w:lvl w:ilvl="3" w:tplc="6D280ED6">
      <w:start w:val="1"/>
      <w:numFmt w:val="decimal"/>
      <w:lvlText w:val="(%4)"/>
      <w:lvlJc w:val="left"/>
      <w:pPr>
        <w:ind w:left="2277" w:hanging="360"/>
      </w:pPr>
      <w:rPr>
        <w:rFonts w:hint="default"/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9" w15:restartNumberingAfterBreak="0">
    <w:nsid w:val="353B43DD"/>
    <w:multiLevelType w:val="hybridMultilevel"/>
    <w:tmpl w:val="C4660FFC"/>
    <w:lvl w:ilvl="0" w:tplc="5B9842BE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trike w:val="0"/>
        <w:color w:val="FF0000"/>
        <w:lang w:val="en-US"/>
      </w:rPr>
    </w:lvl>
    <w:lvl w:ilvl="1" w:tplc="8A1234CE">
      <w:start w:val="1"/>
      <w:numFmt w:val="taiwaneseCountingThousand"/>
      <w:lvlText w:val="(%2)"/>
      <w:lvlJc w:val="left"/>
      <w:pPr>
        <w:ind w:left="1598" w:hanging="408"/>
      </w:pPr>
      <w:rPr>
        <w:rFonts w:ascii="標楷體" w:eastAsia="標楷體" w:hAnsi="標楷體" w:cs="Times New Roman" w:hint="default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36B04F6F"/>
    <w:multiLevelType w:val="hybridMultilevel"/>
    <w:tmpl w:val="CC0A2040"/>
    <w:lvl w:ilvl="0" w:tplc="DEE44C2A">
      <w:start w:val="1"/>
      <w:numFmt w:val="decimal"/>
      <w:lvlText w:val="%1."/>
      <w:lvlJc w:val="left"/>
      <w:pPr>
        <w:ind w:left="1505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11" w15:restartNumberingAfterBreak="0">
    <w:nsid w:val="38CC23F2"/>
    <w:multiLevelType w:val="hybridMultilevel"/>
    <w:tmpl w:val="77FC8B72"/>
    <w:lvl w:ilvl="0" w:tplc="6D280ED6">
      <w:start w:val="1"/>
      <w:numFmt w:val="decimal"/>
      <w:lvlText w:val="(%1)"/>
      <w:lvlJc w:val="left"/>
      <w:pPr>
        <w:ind w:left="1670" w:hanging="480"/>
      </w:pPr>
      <w:rPr>
        <w:rFonts w:hint="default"/>
        <w:strike w:val="0"/>
      </w:rPr>
    </w:lvl>
    <w:lvl w:ilvl="1" w:tplc="C36EFA9C">
      <w:start w:val="1"/>
      <w:numFmt w:val="decimal"/>
      <w:lvlText w:val="%2."/>
      <w:lvlJc w:val="left"/>
      <w:pPr>
        <w:ind w:left="20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2" w15:restartNumberingAfterBreak="0">
    <w:nsid w:val="42B844AF"/>
    <w:multiLevelType w:val="hybridMultilevel"/>
    <w:tmpl w:val="C7082466"/>
    <w:lvl w:ilvl="0" w:tplc="B9C0A02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F54B2"/>
    <w:multiLevelType w:val="hybridMultilevel"/>
    <w:tmpl w:val="87D0A3EA"/>
    <w:lvl w:ilvl="0" w:tplc="1848FC0E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5C3D654F"/>
    <w:multiLevelType w:val="hybridMultilevel"/>
    <w:tmpl w:val="074654F6"/>
    <w:lvl w:ilvl="0" w:tplc="B4B4CCD8">
      <w:start w:val="4"/>
      <w:numFmt w:val="taiwaneseCountingThousand"/>
      <w:lvlText w:val="%1、"/>
      <w:lvlJc w:val="left"/>
      <w:pPr>
        <w:ind w:left="175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32CBE"/>
    <w:multiLevelType w:val="hybridMultilevel"/>
    <w:tmpl w:val="7E200DC4"/>
    <w:lvl w:ilvl="0" w:tplc="FFFFFFFF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hint="default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>
      <w:start w:val="5"/>
      <w:numFmt w:val="decimal"/>
      <w:lvlText w:val="%3."/>
      <w:lvlJc w:val="left"/>
      <w:pPr>
        <w:ind w:left="2596" w:hanging="360"/>
      </w:pPr>
      <w:rPr>
        <w:rFonts w:ascii="Times New Roman" w:eastAsia="標楷體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6B2964C8"/>
    <w:multiLevelType w:val="hybridMultilevel"/>
    <w:tmpl w:val="0EB0C68A"/>
    <w:lvl w:ilvl="0" w:tplc="9B360E40">
      <w:start w:val="1"/>
      <w:numFmt w:val="decimal"/>
      <w:lvlText w:val="%1."/>
      <w:lvlJc w:val="left"/>
      <w:pPr>
        <w:ind w:left="1505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17" w15:restartNumberingAfterBreak="0">
    <w:nsid w:val="7B0713A1"/>
    <w:multiLevelType w:val="hybridMultilevel"/>
    <w:tmpl w:val="60A89590"/>
    <w:lvl w:ilvl="0" w:tplc="AE8CC1A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2914BF"/>
    <w:multiLevelType w:val="hybridMultilevel"/>
    <w:tmpl w:val="7E200DC4"/>
    <w:lvl w:ilvl="0" w:tplc="74D81476">
      <w:start w:val="1"/>
      <w:numFmt w:val="taiwaneseCountingThousand"/>
      <w:lvlText w:val="(%1)"/>
      <w:lvlJc w:val="left"/>
      <w:pPr>
        <w:ind w:left="1756" w:hanging="480"/>
      </w:pPr>
      <w:rPr>
        <w:rFonts w:ascii="標楷體" w:eastAsia="標楷體" w:hAnsi="標楷體" w:hint="default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0D640694">
      <w:start w:val="5"/>
      <w:numFmt w:val="decimal"/>
      <w:lvlText w:val="%3."/>
      <w:lvlJc w:val="left"/>
      <w:pPr>
        <w:ind w:left="2596" w:hanging="360"/>
      </w:pPr>
      <w:rPr>
        <w:rFonts w:ascii="Times New Roman" w:eastAsia="標楷體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num w:numId="1" w16cid:durableId="827016759">
    <w:abstractNumId w:val="17"/>
  </w:num>
  <w:num w:numId="2" w16cid:durableId="1941402524">
    <w:abstractNumId w:val="3"/>
  </w:num>
  <w:num w:numId="3" w16cid:durableId="1685400789">
    <w:abstractNumId w:val="4"/>
  </w:num>
  <w:num w:numId="4" w16cid:durableId="1307050259">
    <w:abstractNumId w:val="13"/>
  </w:num>
  <w:num w:numId="5" w16cid:durableId="11761130">
    <w:abstractNumId w:val="18"/>
  </w:num>
  <w:num w:numId="6" w16cid:durableId="763455160">
    <w:abstractNumId w:val="1"/>
  </w:num>
  <w:num w:numId="7" w16cid:durableId="1000080110">
    <w:abstractNumId w:val="8"/>
  </w:num>
  <w:num w:numId="8" w16cid:durableId="174001403">
    <w:abstractNumId w:val="9"/>
  </w:num>
  <w:num w:numId="9" w16cid:durableId="527181443">
    <w:abstractNumId w:val="15"/>
  </w:num>
  <w:num w:numId="10" w16cid:durableId="1161238427">
    <w:abstractNumId w:val="6"/>
  </w:num>
  <w:num w:numId="11" w16cid:durableId="1062099367">
    <w:abstractNumId w:val="7"/>
  </w:num>
  <w:num w:numId="12" w16cid:durableId="814836866">
    <w:abstractNumId w:val="11"/>
  </w:num>
  <w:num w:numId="13" w16cid:durableId="1367833719">
    <w:abstractNumId w:val="12"/>
  </w:num>
  <w:num w:numId="14" w16cid:durableId="2136558055">
    <w:abstractNumId w:val="14"/>
  </w:num>
  <w:num w:numId="15" w16cid:durableId="1118140285">
    <w:abstractNumId w:val="10"/>
  </w:num>
  <w:num w:numId="16" w16cid:durableId="1719473059">
    <w:abstractNumId w:val="5"/>
  </w:num>
  <w:num w:numId="17" w16cid:durableId="218327976">
    <w:abstractNumId w:val="16"/>
  </w:num>
  <w:num w:numId="18" w16cid:durableId="1618029650">
    <w:abstractNumId w:val="0"/>
  </w:num>
  <w:num w:numId="19" w16cid:durableId="177439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62"/>
    <w:rsid w:val="00074F13"/>
    <w:rsid w:val="00107177"/>
    <w:rsid w:val="00125D1E"/>
    <w:rsid w:val="001547E3"/>
    <w:rsid w:val="00172872"/>
    <w:rsid w:val="00203785"/>
    <w:rsid w:val="00203B65"/>
    <w:rsid w:val="00252F52"/>
    <w:rsid w:val="00297A15"/>
    <w:rsid w:val="002F21FB"/>
    <w:rsid w:val="002F2BF3"/>
    <w:rsid w:val="003B03A6"/>
    <w:rsid w:val="003B2460"/>
    <w:rsid w:val="00422977"/>
    <w:rsid w:val="00456C6F"/>
    <w:rsid w:val="0047421F"/>
    <w:rsid w:val="00490C67"/>
    <w:rsid w:val="005D1222"/>
    <w:rsid w:val="005E4F5A"/>
    <w:rsid w:val="00600968"/>
    <w:rsid w:val="006026C0"/>
    <w:rsid w:val="00625296"/>
    <w:rsid w:val="00655431"/>
    <w:rsid w:val="006661A4"/>
    <w:rsid w:val="0067073F"/>
    <w:rsid w:val="00671DB6"/>
    <w:rsid w:val="00672155"/>
    <w:rsid w:val="006977AD"/>
    <w:rsid w:val="006A1651"/>
    <w:rsid w:val="006A6B0B"/>
    <w:rsid w:val="006B6A70"/>
    <w:rsid w:val="006C06F9"/>
    <w:rsid w:val="006D13B1"/>
    <w:rsid w:val="00786310"/>
    <w:rsid w:val="00796BA4"/>
    <w:rsid w:val="007B19AE"/>
    <w:rsid w:val="007C72AD"/>
    <w:rsid w:val="008166E9"/>
    <w:rsid w:val="0081701D"/>
    <w:rsid w:val="008235E2"/>
    <w:rsid w:val="00836B07"/>
    <w:rsid w:val="008623E4"/>
    <w:rsid w:val="00872633"/>
    <w:rsid w:val="009412B0"/>
    <w:rsid w:val="009C1BBD"/>
    <w:rsid w:val="00A028EB"/>
    <w:rsid w:val="00A8151D"/>
    <w:rsid w:val="00A93262"/>
    <w:rsid w:val="00AA7569"/>
    <w:rsid w:val="00BB1EB7"/>
    <w:rsid w:val="00BE40CA"/>
    <w:rsid w:val="00CA6550"/>
    <w:rsid w:val="00CF0395"/>
    <w:rsid w:val="00D04DF9"/>
    <w:rsid w:val="00D22667"/>
    <w:rsid w:val="00D82E1A"/>
    <w:rsid w:val="00DE07CE"/>
    <w:rsid w:val="00E5698E"/>
    <w:rsid w:val="00EA26D9"/>
    <w:rsid w:val="00F12BB0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E393"/>
  <w15:chartTrackingRefBased/>
  <w15:docId w15:val="{D36D6128-C329-44C1-963E-A01FA15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3內文,(1)(1)(1)(1)(1)(1)(1)(1),卑南壹"/>
    <w:basedOn w:val="a"/>
    <w:link w:val="a4"/>
    <w:uiPriority w:val="34"/>
    <w:qFormat/>
    <w:rsid w:val="00A93262"/>
    <w:pPr>
      <w:widowControl/>
      <w:ind w:left="720"/>
      <w:contextualSpacing/>
    </w:pPr>
    <w:rPr>
      <w:rFonts w:ascii="Calibri" w:hAnsi="Calibri" w:cs="Calibri"/>
      <w:kern w:val="0"/>
      <w:szCs w:val="24"/>
    </w:rPr>
  </w:style>
  <w:style w:type="character" w:customStyle="1" w:styleId="a4">
    <w:name w:val="清單段落 字元"/>
    <w:aliases w:val="標題3內文 字元,(1)(1)(1)(1)(1)(1)(1)(1) 字元,卑南壹 字元"/>
    <w:link w:val="a3"/>
    <w:uiPriority w:val="34"/>
    <w:locked/>
    <w:rsid w:val="00A93262"/>
    <w:rPr>
      <w:rFonts w:ascii="Calibri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4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4DF9"/>
    <w:rPr>
      <w:sz w:val="20"/>
      <w:szCs w:val="20"/>
    </w:rPr>
  </w:style>
  <w:style w:type="table" w:styleId="a9">
    <w:name w:val="Table Grid"/>
    <w:basedOn w:val="a1"/>
    <w:uiPriority w:val="39"/>
    <w:rsid w:val="0029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A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蔡銘源</dc:creator>
  <cp:keywords/>
  <dc:description/>
  <cp:lastModifiedBy>柏芸 劉</cp:lastModifiedBy>
  <cp:revision>2</cp:revision>
  <cp:lastPrinted>2023-10-03T01:32:00Z</cp:lastPrinted>
  <dcterms:created xsi:type="dcterms:W3CDTF">2024-09-27T08:34:00Z</dcterms:created>
  <dcterms:modified xsi:type="dcterms:W3CDTF">2024-09-27T08:34:00Z</dcterms:modified>
</cp:coreProperties>
</file>